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F9" w:rsidRPr="000F5CA2" w:rsidRDefault="005232F9" w:rsidP="005232F9">
      <w:pPr>
        <w:rPr>
          <w:b/>
          <w:bCs/>
          <w:sz w:val="28"/>
          <w:szCs w:val="28"/>
          <w:rtl/>
        </w:rPr>
      </w:pPr>
      <w:r w:rsidRPr="000F5CA2">
        <w:rPr>
          <w:rFonts w:hint="cs"/>
          <w:b/>
          <w:bCs/>
          <w:sz w:val="28"/>
          <w:szCs w:val="28"/>
          <w:rtl/>
        </w:rPr>
        <w:t>مقالات مرکز سلولی و مولکولی سال202</w:t>
      </w:r>
      <w:r>
        <w:rPr>
          <w:rFonts w:hint="cs"/>
          <w:b/>
          <w:bCs/>
          <w:sz w:val="28"/>
          <w:szCs w:val="28"/>
          <w:rtl/>
        </w:rPr>
        <w:t>3</w:t>
      </w:r>
      <w:bookmarkStart w:id="0" w:name="_GoBack"/>
      <w:bookmarkEnd w:id="0"/>
    </w:p>
    <w:p w:rsidR="00A45E1F" w:rsidRPr="005232F9" w:rsidRDefault="00A45E1F">
      <w:pPr>
        <w:rPr>
          <w:rFonts w:asciiTheme="majorBidi" w:hAnsiTheme="majorBidi" w:cstheme="majorBidi" w:hint="cs"/>
          <w:sz w:val="20"/>
          <w:szCs w:val="20"/>
          <w:rtl/>
        </w:rPr>
      </w:pPr>
    </w:p>
    <w:p w:rsidR="005232F9" w:rsidRPr="005232F9" w:rsidRDefault="005232F9" w:rsidP="005232F9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5232F9">
        <w:rPr>
          <w:rFonts w:asciiTheme="majorBidi" w:hAnsiTheme="majorBidi" w:cstheme="majorBidi"/>
          <w:sz w:val="20"/>
          <w:szCs w:val="20"/>
        </w:rPr>
        <w:t>Solid lipid nanoparticles (SLNs), the potential novel vehicle for enhanced in vivo efficacy of hesperidin as an anti-inflammatory agent</w:t>
      </w:r>
    </w:p>
    <w:p w:rsidR="005232F9" w:rsidRPr="005232F9" w:rsidRDefault="005232F9" w:rsidP="005232F9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5232F9">
        <w:rPr>
          <w:rFonts w:asciiTheme="majorBidi" w:hAnsiTheme="majorBidi" w:cstheme="majorBidi"/>
          <w:sz w:val="20"/>
          <w:szCs w:val="20"/>
        </w:rPr>
        <w:t>Outcomes of Cricothyroid Visor Maneuver (CVM) for Treatment of Vocal Polyp: A Case Report</w:t>
      </w:r>
    </w:p>
    <w:p w:rsidR="005232F9" w:rsidRPr="005232F9" w:rsidRDefault="005232F9" w:rsidP="005232F9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5232F9">
        <w:rPr>
          <w:rFonts w:asciiTheme="majorBidi" w:hAnsiTheme="majorBidi" w:cstheme="majorBidi"/>
          <w:sz w:val="20"/>
          <w:szCs w:val="20"/>
        </w:rPr>
        <w:t xml:space="preserve">Development and classification of RNA </w:t>
      </w:r>
      <w:proofErr w:type="spellStart"/>
      <w:r w:rsidRPr="005232F9">
        <w:rPr>
          <w:rFonts w:asciiTheme="majorBidi" w:hAnsiTheme="majorBidi" w:cstheme="majorBidi"/>
          <w:sz w:val="20"/>
          <w:szCs w:val="20"/>
        </w:rPr>
        <w:t>aptamers</w:t>
      </w:r>
      <w:proofErr w:type="spellEnd"/>
      <w:r w:rsidRPr="005232F9">
        <w:rPr>
          <w:rFonts w:asciiTheme="majorBidi" w:hAnsiTheme="majorBidi" w:cstheme="majorBidi"/>
          <w:sz w:val="20"/>
          <w:szCs w:val="20"/>
        </w:rPr>
        <w:t xml:space="preserve"> for therapeutic purposes: an updated review with emphasis on cancer</w:t>
      </w:r>
    </w:p>
    <w:p w:rsidR="005232F9" w:rsidRPr="005232F9" w:rsidRDefault="005232F9" w:rsidP="005232F9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20"/>
          <w:szCs w:val="20"/>
        </w:rPr>
      </w:pPr>
      <w:r w:rsidRPr="005232F9">
        <w:rPr>
          <w:rFonts w:asciiTheme="majorBidi" w:hAnsiTheme="majorBidi" w:cstheme="majorBidi"/>
          <w:sz w:val="20"/>
          <w:szCs w:val="20"/>
        </w:rPr>
        <w:t>Association of AXIN1 rs12921862 C/A and rs1805105 G/A and CTSB rs12898 G/A polymorphisms with papillary thyroid carcinoma: A case-control study</w:t>
      </w:r>
    </w:p>
    <w:sectPr w:rsidR="005232F9" w:rsidRPr="005232F9" w:rsidSect="00116E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D2233"/>
    <w:multiLevelType w:val="hybridMultilevel"/>
    <w:tmpl w:val="69BE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D8"/>
    <w:rsid w:val="00116EF9"/>
    <w:rsid w:val="005232F9"/>
    <w:rsid w:val="007274D8"/>
    <w:rsid w:val="00A4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AA47193"/>
  <w15:chartTrackingRefBased/>
  <w15:docId w15:val="{B652AB14-B6C9-4B4D-A199-09EE81D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diakov.net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2023-07-08T07:16:00Z</dcterms:created>
  <dcterms:modified xsi:type="dcterms:W3CDTF">2023-07-08T07:17:00Z</dcterms:modified>
</cp:coreProperties>
</file>